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BBBA5" w14:textId="77777777" w:rsidR="00055821" w:rsidRDefault="00055821" w:rsidP="000B2422">
      <w:pPr>
        <w:tabs>
          <w:tab w:val="left" w:pos="2715"/>
        </w:tabs>
        <w:spacing w:after="60" w:line="250" w:lineRule="exact"/>
        <w:rPr>
          <w:rFonts w:ascii="Arial" w:hAnsi="Arial" w:cs="Arial"/>
          <w:sz w:val="24"/>
          <w:u w:val="single"/>
        </w:rPr>
      </w:pPr>
    </w:p>
    <w:p w14:paraId="27E4CF4B" w14:textId="79C9EAD5" w:rsidR="00004149" w:rsidRPr="00866E47" w:rsidRDefault="00866E47" w:rsidP="000B2422">
      <w:pPr>
        <w:tabs>
          <w:tab w:val="left" w:pos="2715"/>
        </w:tabs>
        <w:spacing w:after="60" w:line="250" w:lineRule="exact"/>
        <w:rPr>
          <w:rFonts w:ascii="Arial" w:hAnsi="Arial" w:cs="Arial"/>
          <w:sz w:val="20"/>
          <w:szCs w:val="18"/>
        </w:rPr>
      </w:pPr>
      <w:r w:rsidRPr="00866E47">
        <w:rPr>
          <w:rFonts w:ascii="Arial" w:hAnsi="Arial" w:cs="Arial"/>
          <w:sz w:val="20"/>
          <w:szCs w:val="18"/>
        </w:rPr>
        <w:t>Modernisierung mit erneuerbaren Energien</w:t>
      </w:r>
    </w:p>
    <w:p w14:paraId="5242D574" w14:textId="63100A1C" w:rsidR="00866E47" w:rsidRPr="00866E47" w:rsidRDefault="00866E47" w:rsidP="000B2422">
      <w:pPr>
        <w:tabs>
          <w:tab w:val="left" w:pos="2715"/>
        </w:tabs>
        <w:spacing w:after="60" w:line="250" w:lineRule="exact"/>
        <w:rPr>
          <w:rFonts w:ascii="Arial" w:hAnsi="Arial" w:cs="Arial"/>
          <w:b/>
          <w:bCs/>
          <w:sz w:val="24"/>
          <w:szCs w:val="24"/>
        </w:rPr>
      </w:pPr>
      <w:r w:rsidRPr="00866E47">
        <w:rPr>
          <w:rFonts w:ascii="Arial" w:hAnsi="Arial" w:cs="Arial"/>
          <w:b/>
          <w:bCs/>
          <w:sz w:val="24"/>
          <w:szCs w:val="24"/>
        </w:rPr>
        <w:t>Hybrides Heizkonzept: Pellets und Solar</w:t>
      </w:r>
    </w:p>
    <w:p w14:paraId="0FF13363" w14:textId="77777777" w:rsidR="006D51AC" w:rsidRDefault="006D51AC" w:rsidP="000B2422">
      <w:pPr>
        <w:tabs>
          <w:tab w:val="left" w:pos="2715"/>
        </w:tabs>
        <w:spacing w:after="60" w:line="250" w:lineRule="exact"/>
        <w:rPr>
          <w:rFonts w:ascii="Arial" w:hAnsi="Arial" w:cs="Arial"/>
          <w:sz w:val="20"/>
          <w:u w:val="single"/>
        </w:rPr>
      </w:pPr>
    </w:p>
    <w:p w14:paraId="334D06DA" w14:textId="18C513B3" w:rsidR="000C2BA2" w:rsidRPr="005E4535" w:rsidRDefault="00866E47" w:rsidP="000C2BA2">
      <w:pPr>
        <w:tabs>
          <w:tab w:val="left" w:pos="2715"/>
        </w:tabs>
        <w:spacing w:after="60" w:line="250" w:lineRule="exact"/>
        <w:rPr>
          <w:rFonts w:ascii="Arial" w:hAnsi="Arial" w:cs="Arial"/>
          <w:b/>
          <w:sz w:val="20"/>
        </w:rPr>
      </w:pPr>
      <w:r w:rsidRPr="00866E47">
        <w:rPr>
          <w:rFonts w:ascii="Arial" w:hAnsi="Arial" w:cs="Arial"/>
          <w:b/>
          <w:sz w:val="20"/>
        </w:rPr>
        <w:t>Sonnige Aussichten für die Wärmewende: Immer mehr Hausbesitzer entscheiden sich im Rahmen einer Modernisierung für die Solarthermie, das bestätigt eine gemeinsame Erhebung der Solar- und Heizungsindustrie. Doch um das Haus das gesamte Jahr über mit Wärmeenergie für Wasser und Heizung zu versorgen, werden zusätzliche Energiequellen benötigt. Ein intelligent ineinandergreifendes System mit idealer CO2-Bilanz ist die Kombination aus Pelletsheizung mit Solar</w:t>
      </w:r>
      <w:r w:rsidR="000C2BA2" w:rsidRPr="005E4535">
        <w:rPr>
          <w:rFonts w:ascii="Arial" w:hAnsi="Arial" w:cs="Arial"/>
          <w:b/>
          <w:sz w:val="20"/>
        </w:rPr>
        <w:t>.</w:t>
      </w:r>
    </w:p>
    <w:p w14:paraId="2D0CA147" w14:textId="77777777" w:rsidR="000C2BA2" w:rsidRDefault="000C2BA2" w:rsidP="000C2BA2">
      <w:pPr>
        <w:tabs>
          <w:tab w:val="left" w:pos="2715"/>
        </w:tabs>
        <w:spacing w:after="60" w:line="250" w:lineRule="exact"/>
        <w:rPr>
          <w:rFonts w:ascii="Arial" w:hAnsi="Arial" w:cs="Arial"/>
          <w:sz w:val="20"/>
        </w:rPr>
      </w:pPr>
    </w:p>
    <w:p w14:paraId="719C8AE3" w14:textId="26A29DC0" w:rsidR="003A6ABD" w:rsidRPr="00866E47" w:rsidRDefault="00866E47" w:rsidP="003A6ABD">
      <w:pPr>
        <w:tabs>
          <w:tab w:val="left" w:pos="2715"/>
        </w:tabs>
        <w:spacing w:after="0" w:line="250" w:lineRule="exact"/>
        <w:rPr>
          <w:rFonts w:ascii="Arial" w:hAnsi="Arial" w:cs="Arial"/>
          <w:sz w:val="20"/>
          <w:szCs w:val="20"/>
        </w:rPr>
      </w:pPr>
      <w:r w:rsidRPr="00866E47">
        <w:rPr>
          <w:rFonts w:ascii="Arial" w:hAnsi="Arial" w:cs="Arial"/>
          <w:bCs/>
          <w:color w:val="000000"/>
          <w:sz w:val="20"/>
          <w:szCs w:val="20"/>
        </w:rPr>
        <w:t xml:space="preserve">Nach der dunklen Jahreszeit zeigt sich erst im Detail, wie ökonomisch und ökologisch die Heizanlage wirklich gearbeitet hat. In vielen Fällen gibt die Bilanz Anlass zur Modernisierung, denn: Rund zwei Drittel aller Heizungsanlagen hierzulande sind veraltet. Sie arbeiten ineffizient, treiben die Kosten in die Höhe und schaden der Umwelt. Hier kann eine Nachrüstung auf Solarenergie Abhilfe schaffen: „Die Sonne als regenerative Energiequelle ist kostenlos, unbegrenzt verfügbar und klimaneutral. Eine geeignete Solarthermieanlage kann im Sommer bis zu 100 Prozent autark arbeiten und über das ganze Jahr gesehen ein Drittel des Wärmebedarfs eines Haushalts decken“, erklärt </w:t>
      </w:r>
      <w:r w:rsidRPr="00866E47">
        <w:rPr>
          <w:rFonts w:ascii="Arial" w:hAnsi="Arial" w:cs="Arial"/>
          <w:bCs/>
          <w:color w:val="FF0000"/>
          <w:sz w:val="20"/>
          <w:szCs w:val="20"/>
        </w:rPr>
        <w:t>Name Geschäftsführer</w:t>
      </w:r>
      <w:r w:rsidRPr="00866E47">
        <w:rPr>
          <w:rFonts w:ascii="Arial" w:hAnsi="Arial" w:cs="Arial"/>
          <w:bCs/>
          <w:color w:val="000000"/>
          <w:sz w:val="20"/>
          <w:szCs w:val="20"/>
        </w:rPr>
        <w:t xml:space="preserve">, Geschäftsführer der </w:t>
      </w:r>
      <w:r w:rsidRPr="00866E47">
        <w:rPr>
          <w:rFonts w:ascii="Arial" w:hAnsi="Arial" w:cs="Arial"/>
          <w:bCs/>
          <w:color w:val="FF0000"/>
          <w:sz w:val="20"/>
          <w:szCs w:val="20"/>
        </w:rPr>
        <w:t>Name Firma</w:t>
      </w:r>
      <w:r w:rsidRPr="00866E47">
        <w:rPr>
          <w:rFonts w:ascii="Arial" w:hAnsi="Arial" w:cs="Arial"/>
          <w:bCs/>
          <w:color w:val="000000"/>
          <w:sz w:val="20"/>
          <w:szCs w:val="20"/>
        </w:rPr>
        <w:t xml:space="preserve"> aus </w:t>
      </w:r>
      <w:r w:rsidRPr="00866E47">
        <w:rPr>
          <w:rFonts w:ascii="Arial" w:hAnsi="Arial" w:cs="Arial"/>
          <w:bCs/>
          <w:color w:val="FF0000"/>
          <w:sz w:val="20"/>
          <w:szCs w:val="20"/>
        </w:rPr>
        <w:t>Ort</w:t>
      </w:r>
      <w:r w:rsidRPr="00866E47">
        <w:rPr>
          <w:rFonts w:ascii="Arial" w:hAnsi="Arial" w:cs="Arial"/>
          <w:bCs/>
          <w:color w:val="000000"/>
          <w:sz w:val="20"/>
          <w:szCs w:val="20"/>
        </w:rPr>
        <w:t>, der seit Jahren nachhaltige Heizanlagen verbaut</w:t>
      </w:r>
      <w:r w:rsidR="00B62AFC" w:rsidRPr="00866E47">
        <w:rPr>
          <w:rFonts w:ascii="Arial" w:hAnsi="Arial" w:cs="Arial"/>
          <w:sz w:val="20"/>
          <w:szCs w:val="20"/>
        </w:rPr>
        <w:t>.</w:t>
      </w:r>
    </w:p>
    <w:p w14:paraId="478A896B" w14:textId="28C6B054" w:rsidR="00866E47" w:rsidRPr="00866E47" w:rsidRDefault="00866E47" w:rsidP="003A6ABD">
      <w:pPr>
        <w:tabs>
          <w:tab w:val="left" w:pos="2715"/>
        </w:tabs>
        <w:spacing w:after="0" w:line="250" w:lineRule="exact"/>
        <w:rPr>
          <w:rFonts w:ascii="Arial" w:hAnsi="Arial" w:cs="Arial"/>
          <w:sz w:val="20"/>
          <w:szCs w:val="20"/>
        </w:rPr>
      </w:pPr>
    </w:p>
    <w:p w14:paraId="290364ED" w14:textId="77777777" w:rsidR="00866E47" w:rsidRPr="00866E47" w:rsidRDefault="00866E47" w:rsidP="00866E47">
      <w:pPr>
        <w:tabs>
          <w:tab w:val="left" w:pos="2715"/>
        </w:tabs>
        <w:spacing w:after="0" w:line="250" w:lineRule="exact"/>
        <w:rPr>
          <w:rFonts w:ascii="Arial" w:hAnsi="Arial" w:cs="Arial"/>
          <w:b/>
          <w:sz w:val="20"/>
          <w:szCs w:val="20"/>
        </w:rPr>
      </w:pPr>
      <w:r w:rsidRPr="00866E47">
        <w:rPr>
          <w:rFonts w:ascii="Arial" w:hAnsi="Arial" w:cs="Arial"/>
          <w:b/>
          <w:sz w:val="20"/>
          <w:szCs w:val="20"/>
        </w:rPr>
        <w:t xml:space="preserve">Die Installation einer Solarthermieanlage lohnt sich </w:t>
      </w:r>
    </w:p>
    <w:p w14:paraId="696753EA" w14:textId="79F9F6C3" w:rsidR="00866E47" w:rsidRPr="00866E47" w:rsidRDefault="00866E47" w:rsidP="00866E47">
      <w:pPr>
        <w:tabs>
          <w:tab w:val="left" w:pos="2715"/>
        </w:tabs>
        <w:spacing w:after="0" w:line="250" w:lineRule="exact"/>
        <w:rPr>
          <w:rFonts w:ascii="Arial" w:hAnsi="Arial" w:cs="Arial"/>
          <w:sz w:val="20"/>
          <w:szCs w:val="20"/>
        </w:rPr>
      </w:pPr>
      <w:r w:rsidRPr="00866E47">
        <w:rPr>
          <w:rFonts w:ascii="Arial" w:hAnsi="Arial" w:cs="Arial"/>
          <w:sz w:val="20"/>
          <w:szCs w:val="20"/>
        </w:rPr>
        <w:t xml:space="preserve">Die Sonne ist die beste Basis für ein Kombiheizsystem. Bei der Auswahl der Produkte ist auf die einfache Einbindungsmöglichkeit in vorhandene Heizungsanlagen zu achten. Eine ökologische Variante bietet beispielsweise das patentierte </w:t>
      </w:r>
      <w:proofErr w:type="spellStart"/>
      <w:r w:rsidRPr="00866E47">
        <w:rPr>
          <w:rFonts w:ascii="Arial" w:hAnsi="Arial" w:cs="Arial"/>
          <w:sz w:val="20"/>
          <w:szCs w:val="20"/>
        </w:rPr>
        <w:t>AquaSolar</w:t>
      </w:r>
      <w:proofErr w:type="spellEnd"/>
      <w:r w:rsidRPr="00866E47">
        <w:rPr>
          <w:rFonts w:ascii="Arial" w:hAnsi="Arial" w:cs="Arial"/>
          <w:sz w:val="20"/>
          <w:szCs w:val="20"/>
        </w:rPr>
        <w:t>-System von Paradigma. Das Prinzip: Die Solaranlage arbeitet wie ein zweiter Heizkessel auf dem Dach, speist gewonnene Wärme in den Heizkreislauf ein und entlastet so die Zentralheizung. Die Besonderheit liegt bei dem Wärmeträger. Herkömmliche Solarthermieanlagen nutzen ein Glykol-Wasser-Gemisch. Dieses erfordert zwingend eine Trennung der beiden Kreisläufe Solar- und Heizsystem und damit einen speziellen Solarspeicher sowie einen zusätzlichen Wärmetauscher. In allen Aqua-Systemen des baden-württembergischen Herstellers wird hingegen reines Wasser als Wärmeträger eingesetzt. Dadurch lässt sich das System ganz einfach in ein bestehendes Heizsystem integrieren. Den vorhandenen Heizkessel kann man zunächst weiter in Betrieb lassen. Er kann später durch einen Kessel mit günstigeren Energieträgern, wie die ökologischen Holzpellets, getauscht werden. Weiteres entscheidendes Kriterium für die Anschaffung einer Solarthermieanlage ist ihre Wirksamkeit. Besonders effizient sammeln CPC-Vakuum-Röhrenkollektoren das Sonnenlicht ein, wie etwa die Kollektoren des Modells AQUA PLASMA von Paradigma. Die CPC-Spiegel unter den Röhren lenken die Sonnenstrahlen im optimalen Winkel auf den Kollektor. Dadurch wird schon der geringste Lichteinfall in Wärmeenergie umgewandelt. Dank der Vakuum-Isolierung gibt der Kollektor kaum etwas von der Wärme wieder ab. Vakuum-Röhrenkollektoren ermöglichen den Verbrauchern ganzjährig hohe Erträge, auch im Winter. Nicht genutzte Wärme wird im Wärmespeicher aufbewahrt und kommt an sonnenarmen Tagen zum Einsatz.</w:t>
      </w:r>
    </w:p>
    <w:p w14:paraId="057C8D15" w14:textId="163D1AF3" w:rsidR="00866E47" w:rsidRPr="00866E47" w:rsidRDefault="00866E47" w:rsidP="00866E47">
      <w:pPr>
        <w:tabs>
          <w:tab w:val="left" w:pos="2715"/>
        </w:tabs>
        <w:spacing w:after="0" w:line="250" w:lineRule="exact"/>
        <w:rPr>
          <w:rFonts w:ascii="Arial" w:hAnsi="Arial" w:cs="Arial"/>
          <w:sz w:val="20"/>
          <w:szCs w:val="20"/>
        </w:rPr>
      </w:pPr>
    </w:p>
    <w:p w14:paraId="42580EB0" w14:textId="77777777" w:rsidR="00866E47" w:rsidRPr="00866E47" w:rsidRDefault="00866E47" w:rsidP="00866E47">
      <w:pPr>
        <w:tabs>
          <w:tab w:val="left" w:pos="2715"/>
        </w:tabs>
        <w:spacing w:after="0" w:line="250" w:lineRule="exact"/>
        <w:rPr>
          <w:rFonts w:ascii="Arial" w:hAnsi="Arial" w:cs="Arial"/>
          <w:b/>
          <w:sz w:val="20"/>
          <w:szCs w:val="20"/>
        </w:rPr>
      </w:pPr>
      <w:r w:rsidRPr="00866E47">
        <w:rPr>
          <w:rFonts w:ascii="Arial" w:hAnsi="Arial" w:cs="Arial"/>
          <w:b/>
          <w:sz w:val="20"/>
          <w:szCs w:val="20"/>
        </w:rPr>
        <w:t>Umweltfreundliches Duo</w:t>
      </w:r>
    </w:p>
    <w:p w14:paraId="47386043" w14:textId="77777777" w:rsidR="00866E47" w:rsidRPr="00866E47" w:rsidRDefault="00866E47" w:rsidP="00866E47">
      <w:pPr>
        <w:tabs>
          <w:tab w:val="left" w:pos="2715"/>
        </w:tabs>
        <w:spacing w:after="0" w:line="250" w:lineRule="exact"/>
        <w:rPr>
          <w:rFonts w:ascii="Arial" w:hAnsi="Arial" w:cs="Arial"/>
          <w:sz w:val="20"/>
          <w:szCs w:val="20"/>
        </w:rPr>
      </w:pPr>
      <w:r w:rsidRPr="00866E47">
        <w:rPr>
          <w:rFonts w:ascii="Arial" w:hAnsi="Arial" w:cs="Arial"/>
          <w:sz w:val="20"/>
          <w:szCs w:val="20"/>
        </w:rPr>
        <w:t>Grundsätzlich lassen sich Solarthermieanlagen mit allen Öl- oder Gaskesseln kombinieren. Das Problem dieser zusätzlichen Wärmeerzeuger: Die fossilen Rohstoffe sind nur endlich verfügbar, sie unterliegen Preisschwankungen und ihre Verbrennung belastet die Umwelt. Möchte man komplett auf regenerative Energien umsteigen, bietet sich deshalb die Ergänzung mit einem Pelletskessel an. Dieses umweltfreundliche Duo ermöglicht Hausbesitzern eine lückenlose Versorgung das ganze Jahr über. Hochwertige Pellets aus dem nachwachsenden Rohstoff Holz verbrennen sowohl schwefelfrei als auch CO2-neutral und können mit einem geringeren Energieaufwand hergestellt werden als fossile Brennstoffe.</w:t>
      </w:r>
    </w:p>
    <w:p w14:paraId="413F9838" w14:textId="00ED1B12" w:rsidR="00866E47" w:rsidRPr="00866E47" w:rsidRDefault="00866E47" w:rsidP="00866E47">
      <w:pPr>
        <w:tabs>
          <w:tab w:val="left" w:pos="2715"/>
        </w:tabs>
        <w:spacing w:after="0" w:line="250" w:lineRule="exact"/>
        <w:rPr>
          <w:rFonts w:ascii="Arial" w:hAnsi="Arial" w:cs="Arial"/>
          <w:sz w:val="20"/>
          <w:szCs w:val="20"/>
        </w:rPr>
      </w:pPr>
      <w:r w:rsidRPr="00866E47">
        <w:rPr>
          <w:rFonts w:ascii="Arial" w:hAnsi="Arial" w:cs="Arial"/>
          <w:sz w:val="20"/>
          <w:szCs w:val="20"/>
        </w:rPr>
        <w:t>Mithilfe der Brennwerttechnologie geht die Wärme nicht durch den Schornstein verloren, wie in normalen Heizkesseln, sondern wird in das System zurückgeführt. „Dadurch wird die Effizienz des Kessels enorm gesteigert, es werden weniger Holzpellets benötigt und dadurch weitere Heizkosteneinsparungen von bis zu 15 Prozent erzielt“, so Name Geschäftsführer. Oftmals wird im Rahmen einer Teilsanierung des Heizsystems zuerst in die eine Komponente investiert und später in die andere, um hohe Investitionskosten zu vermeiden.</w:t>
      </w:r>
    </w:p>
    <w:p w14:paraId="29847428" w14:textId="77777777" w:rsidR="00866E47" w:rsidRDefault="00866E47">
      <w:pPr>
        <w:rPr>
          <w:rFonts w:ascii="Arial" w:hAnsi="Arial" w:cs="Arial"/>
          <w:b/>
          <w:sz w:val="21"/>
          <w:szCs w:val="21"/>
        </w:rPr>
      </w:pPr>
      <w:r>
        <w:rPr>
          <w:rFonts w:ascii="Arial" w:hAnsi="Arial" w:cs="Arial"/>
          <w:b/>
          <w:sz w:val="21"/>
          <w:szCs w:val="21"/>
        </w:rPr>
        <w:br w:type="page"/>
      </w:r>
    </w:p>
    <w:p w14:paraId="282F7892" w14:textId="08150599" w:rsidR="00866E47" w:rsidRPr="00866E47" w:rsidRDefault="00866E47" w:rsidP="00866E47">
      <w:pPr>
        <w:spacing w:line="360" w:lineRule="auto"/>
        <w:rPr>
          <w:rFonts w:ascii="Arial" w:hAnsi="Arial" w:cs="Arial"/>
          <w:b/>
          <w:sz w:val="20"/>
          <w:szCs w:val="20"/>
        </w:rPr>
      </w:pPr>
      <w:r w:rsidRPr="00866E47">
        <w:rPr>
          <w:rFonts w:ascii="Arial" w:hAnsi="Arial" w:cs="Arial"/>
          <w:b/>
          <w:sz w:val="20"/>
          <w:szCs w:val="20"/>
        </w:rPr>
        <w:lastRenderedPageBreak/>
        <w:t>Bildmaterial</w:t>
      </w:r>
    </w:p>
    <w:p w14:paraId="4031349B" w14:textId="6DFB94A4" w:rsidR="00866E47" w:rsidRPr="00866E47" w:rsidRDefault="00866E47" w:rsidP="00866E47">
      <w:pPr>
        <w:spacing w:line="360" w:lineRule="auto"/>
        <w:rPr>
          <w:rFonts w:ascii="Arial" w:hAnsi="Arial" w:cs="Arial"/>
          <w:b/>
          <w:sz w:val="20"/>
          <w:szCs w:val="20"/>
        </w:rPr>
      </w:pPr>
      <w:r w:rsidRPr="00866E47">
        <w:rPr>
          <w:rFonts w:ascii="Arial" w:hAnsi="Arial" w:cs="Arial"/>
          <w:b/>
          <w:noProof/>
          <w:sz w:val="20"/>
          <w:szCs w:val="20"/>
        </w:rPr>
        <w:drawing>
          <wp:inline distT="0" distB="0" distL="0" distR="0" wp14:anchorId="6F3F20F7" wp14:editId="33F23582">
            <wp:extent cx="3505200" cy="1905000"/>
            <wp:effectExtent l="0" t="0" r="0" b="0"/>
            <wp:docPr id="5" name="Grafik 5" descr="DSC_0361_4c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SC_0361_4c_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1905000"/>
                    </a:xfrm>
                    <a:prstGeom prst="rect">
                      <a:avLst/>
                    </a:prstGeom>
                    <a:noFill/>
                    <a:ln>
                      <a:noFill/>
                    </a:ln>
                  </pic:spPr>
                </pic:pic>
              </a:graphicData>
            </a:graphic>
          </wp:inline>
        </w:drawing>
      </w:r>
    </w:p>
    <w:p w14:paraId="3ABC07A9" w14:textId="77777777" w:rsidR="00866E47" w:rsidRPr="00866E47" w:rsidRDefault="00866E47" w:rsidP="00866E47">
      <w:pPr>
        <w:rPr>
          <w:rFonts w:ascii="Arial" w:hAnsi="Arial" w:cs="Arial"/>
          <w:sz w:val="20"/>
          <w:szCs w:val="20"/>
        </w:rPr>
      </w:pPr>
      <w:r w:rsidRPr="00866E47">
        <w:rPr>
          <w:rFonts w:ascii="Arial" w:hAnsi="Arial" w:cs="Arial"/>
          <w:b/>
          <w:sz w:val="20"/>
          <w:szCs w:val="20"/>
        </w:rPr>
        <w:t>BU:</w:t>
      </w:r>
      <w:r w:rsidRPr="00866E47">
        <w:rPr>
          <w:rFonts w:ascii="Arial" w:hAnsi="Arial" w:cs="Arial"/>
          <w:sz w:val="20"/>
          <w:szCs w:val="20"/>
        </w:rPr>
        <w:t xml:space="preserve"> Mit der Nachrüstung einer Solarthermieanlage gehen Hausbesitzer den ersten Schritt in Richtung Unabhängigkeit von fossilen Brennstoffen. (Quelle: Paradigma)</w:t>
      </w:r>
    </w:p>
    <w:p w14:paraId="5A7EA0B4" w14:textId="1601BFF2" w:rsidR="00866E47" w:rsidRPr="00866E47" w:rsidRDefault="00866E47" w:rsidP="00866E47">
      <w:pPr>
        <w:suppressAutoHyphens/>
        <w:spacing w:line="360" w:lineRule="auto"/>
        <w:jc w:val="both"/>
        <w:rPr>
          <w:rFonts w:ascii="Arial" w:hAnsi="Arial"/>
          <w:b/>
          <w:sz w:val="20"/>
          <w:szCs w:val="20"/>
        </w:rPr>
      </w:pPr>
      <w:r w:rsidRPr="00866E47">
        <w:rPr>
          <w:rFonts w:ascii="Arial" w:hAnsi="Arial"/>
          <w:b/>
          <w:noProof/>
          <w:sz w:val="20"/>
          <w:szCs w:val="20"/>
        </w:rPr>
        <w:drawing>
          <wp:inline distT="0" distB="0" distL="0" distR="0" wp14:anchorId="63E0A774" wp14:editId="1E3FF0B3">
            <wp:extent cx="2428875" cy="28479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2847975"/>
                    </a:xfrm>
                    <a:prstGeom prst="rect">
                      <a:avLst/>
                    </a:prstGeom>
                    <a:noFill/>
                    <a:ln>
                      <a:noFill/>
                    </a:ln>
                  </pic:spPr>
                </pic:pic>
              </a:graphicData>
            </a:graphic>
          </wp:inline>
        </w:drawing>
      </w:r>
    </w:p>
    <w:p w14:paraId="46E81014" w14:textId="77777777" w:rsidR="00866E47" w:rsidRPr="00866E47" w:rsidRDefault="00866E47" w:rsidP="00866E47">
      <w:pPr>
        <w:suppressAutoHyphens/>
        <w:jc w:val="both"/>
        <w:rPr>
          <w:rFonts w:ascii="Arial" w:hAnsi="Arial"/>
          <w:sz w:val="20"/>
          <w:szCs w:val="20"/>
        </w:rPr>
      </w:pPr>
      <w:r w:rsidRPr="00866E47">
        <w:rPr>
          <w:rFonts w:ascii="Arial" w:hAnsi="Arial"/>
          <w:b/>
          <w:sz w:val="20"/>
          <w:szCs w:val="20"/>
        </w:rPr>
        <w:t xml:space="preserve">BU: </w:t>
      </w:r>
      <w:r w:rsidRPr="00866E47">
        <w:rPr>
          <w:rFonts w:ascii="Arial" w:hAnsi="Arial"/>
          <w:sz w:val="20"/>
          <w:szCs w:val="20"/>
        </w:rPr>
        <w:t>Mithilfe der</w:t>
      </w:r>
      <w:r w:rsidRPr="00866E47">
        <w:rPr>
          <w:rFonts w:ascii="Arial" w:hAnsi="Arial"/>
          <w:b/>
          <w:sz w:val="20"/>
          <w:szCs w:val="20"/>
        </w:rPr>
        <w:t xml:space="preserve"> </w:t>
      </w:r>
      <w:r w:rsidRPr="00866E47">
        <w:rPr>
          <w:rFonts w:ascii="Arial" w:hAnsi="Arial"/>
          <w:sz w:val="20"/>
          <w:szCs w:val="20"/>
        </w:rPr>
        <w:t>Brennwertkessel wird Abwärme gezielt in Nutzwärme umgewandelt. So kann ein Kessel einen Wirkungsgrad von bis zu 107 Prozent erreichen. (Quelle: Paradigma)</w:t>
      </w:r>
    </w:p>
    <w:p w14:paraId="4FBD9E50" w14:textId="77777777" w:rsidR="00866E47" w:rsidRPr="00866E47" w:rsidRDefault="00866E47" w:rsidP="00866E47">
      <w:pPr>
        <w:spacing w:line="360" w:lineRule="auto"/>
        <w:rPr>
          <w:rFonts w:ascii="Arial" w:hAnsi="Arial" w:cs="Arial"/>
          <w:sz w:val="20"/>
          <w:szCs w:val="20"/>
        </w:rPr>
      </w:pPr>
    </w:p>
    <w:p w14:paraId="386F551B" w14:textId="77777777" w:rsidR="00866E47" w:rsidRPr="00866E47" w:rsidRDefault="00866E47" w:rsidP="00866E47">
      <w:pPr>
        <w:spacing w:line="360" w:lineRule="auto"/>
        <w:rPr>
          <w:rFonts w:ascii="Arial" w:hAnsi="Arial" w:cs="Arial"/>
          <w:sz w:val="20"/>
          <w:szCs w:val="20"/>
        </w:rPr>
      </w:pPr>
    </w:p>
    <w:p w14:paraId="2220B1D2" w14:textId="7EBEC54B" w:rsidR="00866E47" w:rsidRPr="00866E47" w:rsidRDefault="00866E47" w:rsidP="00866E47">
      <w:pPr>
        <w:spacing w:line="360" w:lineRule="auto"/>
        <w:rPr>
          <w:rFonts w:ascii="Arial" w:hAnsi="Arial" w:cs="Arial"/>
          <w:sz w:val="20"/>
          <w:szCs w:val="20"/>
        </w:rPr>
      </w:pPr>
      <w:r w:rsidRPr="00866E47">
        <w:rPr>
          <w:rFonts w:ascii="Arial" w:hAnsi="Arial" w:cs="Arial"/>
          <w:noProof/>
          <w:sz w:val="20"/>
          <w:szCs w:val="20"/>
        </w:rPr>
        <w:lastRenderedPageBreak/>
        <w:drawing>
          <wp:inline distT="0" distB="0" distL="0" distR="0" wp14:anchorId="3C84F391" wp14:editId="28F94AFE">
            <wp:extent cx="5114925" cy="22669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925" cy="2266950"/>
                    </a:xfrm>
                    <a:prstGeom prst="rect">
                      <a:avLst/>
                    </a:prstGeom>
                    <a:noFill/>
                    <a:ln>
                      <a:noFill/>
                    </a:ln>
                  </pic:spPr>
                </pic:pic>
              </a:graphicData>
            </a:graphic>
          </wp:inline>
        </w:drawing>
      </w:r>
    </w:p>
    <w:p w14:paraId="5B5283EE" w14:textId="77777777" w:rsidR="00866E47" w:rsidRPr="00866E47" w:rsidRDefault="00866E47" w:rsidP="00866E47">
      <w:pPr>
        <w:rPr>
          <w:rFonts w:ascii="Arial" w:hAnsi="Arial" w:cs="Arial"/>
          <w:sz w:val="20"/>
          <w:szCs w:val="20"/>
        </w:rPr>
      </w:pPr>
      <w:r w:rsidRPr="00866E47">
        <w:rPr>
          <w:rFonts w:ascii="Arial" w:hAnsi="Arial" w:cs="Arial"/>
          <w:b/>
          <w:sz w:val="20"/>
          <w:szCs w:val="20"/>
        </w:rPr>
        <w:t>BU:</w:t>
      </w:r>
      <w:r w:rsidRPr="00866E47">
        <w:rPr>
          <w:rFonts w:ascii="Arial" w:hAnsi="Arial" w:cs="Arial"/>
          <w:sz w:val="20"/>
          <w:szCs w:val="20"/>
        </w:rPr>
        <w:t xml:space="preserve"> Das </w:t>
      </w:r>
      <w:proofErr w:type="spellStart"/>
      <w:r w:rsidRPr="00866E47">
        <w:rPr>
          <w:rFonts w:ascii="Arial" w:hAnsi="Arial" w:cs="Arial"/>
          <w:sz w:val="20"/>
          <w:szCs w:val="20"/>
        </w:rPr>
        <w:t>AquaSolar</w:t>
      </w:r>
      <w:proofErr w:type="spellEnd"/>
      <w:r w:rsidRPr="00866E47">
        <w:rPr>
          <w:rFonts w:ascii="Arial" w:hAnsi="Arial" w:cs="Arial"/>
          <w:sz w:val="20"/>
          <w:szCs w:val="20"/>
        </w:rPr>
        <w:t xml:space="preserve">-System von Paradigma </w:t>
      </w:r>
      <w:r w:rsidRPr="00866E47">
        <w:rPr>
          <w:rFonts w:ascii="Arial" w:hAnsi="Arial" w:cs="Arial"/>
          <w:color w:val="000000"/>
          <w:sz w:val="20"/>
          <w:szCs w:val="20"/>
          <w:shd w:val="clear" w:color="auto" w:fill="FFFFFF"/>
        </w:rPr>
        <w:t xml:space="preserve">ermöglicht die einfache solare Nachrüstung nahezu jeder bestehenden Heizung, weil es mit reinem Wasser als Solarflüssigkeit arbeitet. </w:t>
      </w:r>
      <w:r w:rsidRPr="00866E47">
        <w:rPr>
          <w:rFonts w:ascii="Arial" w:hAnsi="Arial" w:cs="Arial"/>
          <w:sz w:val="20"/>
          <w:szCs w:val="20"/>
        </w:rPr>
        <w:t>(Quelle: Paradigma)</w:t>
      </w:r>
    </w:p>
    <w:p w14:paraId="079C159C" w14:textId="7278A142" w:rsidR="00866E47" w:rsidRPr="00866E47" w:rsidRDefault="00866E47" w:rsidP="00866E47">
      <w:pPr>
        <w:spacing w:line="360" w:lineRule="auto"/>
        <w:rPr>
          <w:rFonts w:ascii="Arial" w:hAnsi="Arial" w:cs="Arial"/>
          <w:b/>
          <w:sz w:val="20"/>
          <w:szCs w:val="20"/>
        </w:rPr>
      </w:pPr>
      <w:r w:rsidRPr="00866E47">
        <w:rPr>
          <w:rFonts w:ascii="Arial" w:hAnsi="Arial" w:cs="Arial"/>
          <w:b/>
          <w:noProof/>
          <w:sz w:val="20"/>
          <w:szCs w:val="20"/>
        </w:rPr>
        <w:drawing>
          <wp:inline distT="0" distB="0" distL="0" distR="0" wp14:anchorId="5380E721" wp14:editId="38E6347E">
            <wp:extent cx="3419475" cy="2419350"/>
            <wp:effectExtent l="0" t="0" r="9525" b="0"/>
            <wp:docPr id="2" name="Grafik 2" descr="Aqua-Plasma-Anschlüsse-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Aqua-Plasma-Anschlüsse-Deta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14:paraId="09F5B47A" w14:textId="77777777" w:rsidR="00866E47" w:rsidRPr="00866E47" w:rsidRDefault="00866E47" w:rsidP="00866E47">
      <w:pPr>
        <w:rPr>
          <w:rFonts w:ascii="Arial" w:hAnsi="Arial" w:cs="Arial"/>
          <w:sz w:val="20"/>
          <w:szCs w:val="20"/>
        </w:rPr>
      </w:pPr>
      <w:r w:rsidRPr="00866E47">
        <w:rPr>
          <w:rFonts w:ascii="Arial" w:hAnsi="Arial" w:cs="Arial"/>
          <w:b/>
          <w:sz w:val="20"/>
          <w:szCs w:val="20"/>
        </w:rPr>
        <w:t xml:space="preserve">BU: </w:t>
      </w:r>
      <w:r w:rsidRPr="00866E47">
        <w:rPr>
          <w:rFonts w:ascii="Arial" w:hAnsi="Arial" w:cs="Arial"/>
          <w:sz w:val="20"/>
          <w:szCs w:val="20"/>
        </w:rPr>
        <w:t>Dank Vakuumröhren liefert der AQUA PLASMA auch bei geringer Sonneneinstrahlung und im Winter optimale Erträge. (Quelle: Paradigma)</w:t>
      </w:r>
    </w:p>
    <w:p w14:paraId="321965A4" w14:textId="3194F392" w:rsidR="00866E47" w:rsidRDefault="00866E47">
      <w:pPr>
        <w:rPr>
          <w:rFonts w:ascii="Arial" w:hAnsi="Arial" w:cs="Arial"/>
          <w:sz w:val="20"/>
          <w:szCs w:val="20"/>
        </w:rPr>
      </w:pPr>
      <w:r>
        <w:rPr>
          <w:rFonts w:ascii="Arial" w:hAnsi="Arial" w:cs="Arial"/>
          <w:sz w:val="20"/>
          <w:szCs w:val="20"/>
        </w:rPr>
        <w:br w:type="page"/>
      </w:r>
    </w:p>
    <w:p w14:paraId="135D1CB2" w14:textId="15EC0E2F" w:rsidR="00866E47" w:rsidRPr="00866E47" w:rsidRDefault="00866E47" w:rsidP="00866E47">
      <w:pPr>
        <w:spacing w:line="360" w:lineRule="auto"/>
        <w:rPr>
          <w:rFonts w:ascii="Arial" w:hAnsi="Arial" w:cs="Arial"/>
          <w:sz w:val="20"/>
          <w:szCs w:val="20"/>
        </w:rPr>
      </w:pPr>
      <w:r w:rsidRPr="00866E47">
        <w:rPr>
          <w:rFonts w:ascii="Arial" w:hAnsi="Arial" w:cs="Arial"/>
          <w:noProof/>
          <w:sz w:val="20"/>
          <w:szCs w:val="20"/>
        </w:rPr>
        <w:lastRenderedPageBreak/>
        <w:drawing>
          <wp:inline distT="0" distB="0" distL="0" distR="0" wp14:anchorId="132FB495" wp14:editId="544FD6B0">
            <wp:extent cx="5753100" cy="2352675"/>
            <wp:effectExtent l="0" t="0" r="0" b="9525"/>
            <wp:docPr id="1" name="Grafik 1" descr="roehrenkollektor-spiegel-einstrah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roehrenkollektor-spiegel-einstrahlu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14:paraId="7622A384" w14:textId="77777777" w:rsidR="00866E47" w:rsidRPr="00866E47" w:rsidRDefault="00866E47" w:rsidP="00866E47">
      <w:pPr>
        <w:rPr>
          <w:rFonts w:ascii="Arial" w:hAnsi="Arial" w:cs="Arial"/>
          <w:sz w:val="20"/>
          <w:szCs w:val="20"/>
        </w:rPr>
      </w:pPr>
      <w:r w:rsidRPr="00866E47">
        <w:rPr>
          <w:rFonts w:ascii="Arial" w:hAnsi="Arial" w:cs="Arial"/>
          <w:b/>
          <w:sz w:val="20"/>
          <w:szCs w:val="20"/>
        </w:rPr>
        <w:t>BU:</w:t>
      </w:r>
      <w:r w:rsidRPr="00866E47">
        <w:rPr>
          <w:sz w:val="20"/>
          <w:szCs w:val="20"/>
        </w:rPr>
        <w:t xml:space="preserve"> </w:t>
      </w:r>
      <w:r w:rsidRPr="00866E47">
        <w:rPr>
          <w:rFonts w:ascii="Arial" w:hAnsi="Arial" w:cs="Arial"/>
          <w:sz w:val="20"/>
          <w:szCs w:val="20"/>
        </w:rPr>
        <w:t xml:space="preserve">CPC Spiegel sorgen dafür, dass das Sonnenlicht immer im optimalen Winkel auf den Absorber trifft. Die Solarkollektoren sammeln so viel Sonne wie möglich, auch in Übergangszeiten, bei geringer Sonneneinstrahlung und im Winter. </w:t>
      </w:r>
    </w:p>
    <w:p w14:paraId="1F377F28" w14:textId="77777777" w:rsidR="00866E47" w:rsidRPr="00866E47" w:rsidRDefault="00866E47" w:rsidP="00866E47">
      <w:pPr>
        <w:tabs>
          <w:tab w:val="left" w:pos="2715"/>
        </w:tabs>
        <w:spacing w:after="0" w:line="250" w:lineRule="exact"/>
        <w:rPr>
          <w:rFonts w:ascii="Arial" w:hAnsi="Arial" w:cs="Arial"/>
          <w:sz w:val="20"/>
          <w:szCs w:val="20"/>
        </w:rPr>
      </w:pPr>
    </w:p>
    <w:sectPr w:rsidR="00866E47" w:rsidRPr="00866E47" w:rsidSect="009C4A8C">
      <w:headerReference w:type="default" r:id="rId13"/>
      <w:footerReference w:type="default" r:id="rId14"/>
      <w:headerReference w:type="first" r:id="rId15"/>
      <w:footerReference w:type="first" r:id="rId16"/>
      <w:pgSz w:w="11906" w:h="16838"/>
      <w:pgMar w:top="1417" w:right="849" w:bottom="1134" w:left="1134" w:header="708" w:footer="3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B1CD4" w14:textId="77777777" w:rsidR="006B35F6" w:rsidRDefault="006B35F6" w:rsidP="0005650D">
      <w:pPr>
        <w:spacing w:after="0" w:line="240" w:lineRule="auto"/>
      </w:pPr>
      <w:r>
        <w:separator/>
      </w:r>
    </w:p>
  </w:endnote>
  <w:endnote w:type="continuationSeparator" w:id="0">
    <w:p w14:paraId="74743904" w14:textId="77777777" w:rsidR="006B35F6" w:rsidRDefault="006B35F6" w:rsidP="00056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DF000" w14:textId="77777777" w:rsidR="00A335A8" w:rsidRDefault="00A335A8" w:rsidP="0008628D">
    <w:pPr>
      <w:tabs>
        <w:tab w:val="left" w:pos="2715"/>
      </w:tabs>
      <w:spacing w:after="0" w:line="240" w:lineRule="auto"/>
      <w:ind w:left="851"/>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0B03E" w14:textId="77777777" w:rsidR="00A335A8" w:rsidRPr="00FB78BB" w:rsidRDefault="00A335A8" w:rsidP="00FB78BB">
    <w:pPr>
      <w:tabs>
        <w:tab w:val="left" w:pos="2715"/>
      </w:tabs>
      <w:spacing w:after="0" w:line="276" w:lineRule="auto"/>
      <w:rPr>
        <w:rFonts w:ascii="Arial" w:hAnsi="Arial" w:cs="Arial"/>
        <w:color w:val="565655"/>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91A64" w14:textId="77777777" w:rsidR="006B35F6" w:rsidRDefault="006B35F6" w:rsidP="0005650D">
      <w:pPr>
        <w:spacing w:after="0" w:line="240" w:lineRule="auto"/>
      </w:pPr>
      <w:r>
        <w:separator/>
      </w:r>
    </w:p>
  </w:footnote>
  <w:footnote w:type="continuationSeparator" w:id="0">
    <w:p w14:paraId="24FE1541" w14:textId="77777777" w:rsidR="006B35F6" w:rsidRDefault="006B35F6" w:rsidP="00056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25ADB" w14:textId="179D1C58" w:rsidR="00A335A8" w:rsidRPr="00866E47" w:rsidRDefault="00A335A8" w:rsidP="003F52B5">
    <w:pPr>
      <w:tabs>
        <w:tab w:val="center" w:pos="4536"/>
        <w:tab w:val="right" w:pos="9072"/>
      </w:tabs>
      <w:spacing w:after="120" w:line="240" w:lineRule="auto"/>
      <w:ind w:left="-709" w:firstLine="709"/>
      <w:rPr>
        <w:rFonts w:ascii="Arial" w:eastAsia="Calibri" w:hAnsi="Arial" w:cs="Arial"/>
        <w:color w:val="565655"/>
        <w:sz w:val="24"/>
        <w:szCs w:val="40"/>
        <w:u w:val="single"/>
      </w:rPr>
    </w:pPr>
    <w:r w:rsidRPr="00866E47">
      <w:rPr>
        <w:rFonts w:ascii="Arial" w:eastAsia="Calibri" w:hAnsi="Arial" w:cs="Arial"/>
        <w:noProof/>
        <w:sz w:val="10"/>
        <w:u w:val="single"/>
        <w:shd w:val="clear" w:color="auto" w:fill="FFFFFF" w:themeFill="background1"/>
        <w:lang w:eastAsia="de-DE"/>
      </w:rPr>
      <w:drawing>
        <wp:anchor distT="0" distB="0" distL="114300" distR="114300" simplePos="0" relativeHeight="251658240" behindDoc="0" locked="0" layoutInCell="1" allowOverlap="1" wp14:anchorId="04C9937A" wp14:editId="442B5C0D">
          <wp:simplePos x="0" y="0"/>
          <wp:positionH relativeFrom="margin">
            <wp:posOffset>5010785</wp:posOffset>
          </wp:positionH>
          <wp:positionV relativeFrom="margin">
            <wp:posOffset>-774700</wp:posOffset>
          </wp:positionV>
          <wp:extent cx="1292860" cy="539115"/>
          <wp:effectExtent l="0" t="0" r="254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ter_Energie_H13mm.jpg"/>
                  <pic:cNvPicPr/>
                </pic:nvPicPr>
                <pic:blipFill>
                  <a:blip r:embed="rId1">
                    <a:extLst>
                      <a:ext uri="{28A0092B-C50C-407E-A947-70E740481C1C}">
                        <a14:useLocalDpi xmlns:a14="http://schemas.microsoft.com/office/drawing/2010/main" val="0"/>
                      </a:ext>
                    </a:extLst>
                  </a:blip>
                  <a:stretch>
                    <a:fillRect/>
                  </a:stretch>
                </pic:blipFill>
                <pic:spPr>
                  <a:xfrm>
                    <a:off x="0" y="0"/>
                    <a:ext cx="1292860" cy="53911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C917" w14:textId="62D263E9" w:rsidR="00A335A8" w:rsidRPr="008F5F59" w:rsidRDefault="00A335A8" w:rsidP="0060248A">
    <w:pPr>
      <w:tabs>
        <w:tab w:val="center" w:pos="4536"/>
        <w:tab w:val="right" w:pos="9072"/>
      </w:tabs>
      <w:spacing w:after="120" w:line="240" w:lineRule="auto"/>
      <w:rPr>
        <w:rFonts w:ascii="Arial" w:eastAsia="Calibri" w:hAnsi="Arial" w:cs="Arial"/>
        <w:color w:val="565655"/>
        <w:sz w:val="32"/>
        <w:szCs w:val="40"/>
      </w:rPr>
    </w:pPr>
    <w:r w:rsidRPr="0060248A">
      <w:rPr>
        <w:rFonts w:ascii="Arial" w:eastAsia="Calibri" w:hAnsi="Arial" w:cs="Arial"/>
        <w:noProof/>
        <w:shd w:val="clear" w:color="auto" w:fill="FFE200"/>
        <w:lang w:eastAsia="de-DE"/>
      </w:rPr>
      <w:drawing>
        <wp:anchor distT="0" distB="0" distL="114300" distR="114300" simplePos="0" relativeHeight="251660288" behindDoc="0" locked="0" layoutInCell="1" allowOverlap="1" wp14:anchorId="4E77496C" wp14:editId="514880E3">
          <wp:simplePos x="0" y="0"/>
          <wp:positionH relativeFrom="margin">
            <wp:posOffset>5010785</wp:posOffset>
          </wp:positionH>
          <wp:positionV relativeFrom="margin">
            <wp:posOffset>-774700</wp:posOffset>
          </wp:positionV>
          <wp:extent cx="1292860" cy="539115"/>
          <wp:effectExtent l="0" t="0" r="254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ter_Energie_H13mm.jpg"/>
                  <pic:cNvPicPr/>
                </pic:nvPicPr>
                <pic:blipFill>
                  <a:blip r:embed="rId1">
                    <a:extLst>
                      <a:ext uri="{28A0092B-C50C-407E-A947-70E740481C1C}">
                        <a14:useLocalDpi xmlns:a14="http://schemas.microsoft.com/office/drawing/2010/main" val="0"/>
                      </a:ext>
                    </a:extLst>
                  </a:blip>
                  <a:stretch>
                    <a:fillRect/>
                  </a:stretch>
                </pic:blipFill>
                <pic:spPr>
                  <a:xfrm>
                    <a:off x="0" y="0"/>
                    <a:ext cx="1292860" cy="539115"/>
                  </a:xfrm>
                  <a:prstGeom prst="rect">
                    <a:avLst/>
                  </a:prstGeom>
                </pic:spPr>
              </pic:pic>
            </a:graphicData>
          </a:graphic>
          <wp14:sizeRelH relativeFrom="margin">
            <wp14:pctWidth>0</wp14:pctWidth>
          </wp14:sizeRelH>
        </wp:anchor>
      </w:drawing>
    </w:r>
    <w:r w:rsidR="00055821">
      <w:rPr>
        <w:rFonts w:ascii="Arial" w:eastAsia="Calibri" w:hAnsi="Arial" w:cs="Arial"/>
        <w:color w:val="565655"/>
        <w:sz w:val="32"/>
        <w:szCs w:val="40"/>
      </w:rPr>
      <w:t>Muster-</w:t>
    </w:r>
    <w:r w:rsidR="003A6ABD">
      <w:rPr>
        <w:rFonts w:ascii="Arial" w:eastAsia="Calibri" w:hAnsi="Arial" w:cs="Arial"/>
        <w:color w:val="565655"/>
        <w:sz w:val="32"/>
        <w:szCs w:val="40"/>
      </w:rPr>
      <w:t>Presse</w:t>
    </w:r>
    <w:r w:rsidR="00C1086A">
      <w:rPr>
        <w:rFonts w:ascii="Arial" w:eastAsia="Calibri" w:hAnsi="Arial" w:cs="Arial"/>
        <w:color w:val="565655"/>
        <w:sz w:val="32"/>
        <w:szCs w:val="40"/>
      </w:rPr>
      <w:t>artikel</w:t>
    </w:r>
  </w:p>
  <w:p w14:paraId="1F983506" w14:textId="04526CF0" w:rsidR="00945918" w:rsidRPr="00055821" w:rsidRDefault="002713A2">
    <w:pPr>
      <w:rPr>
        <w:rFonts w:ascii="Arial" w:hAnsi="Arial" w:cs="Arial"/>
      </w:rPr>
    </w:pPr>
    <w:r>
      <w:rPr>
        <w:rFonts w:ascii="Arial" w:hAnsi="Arial" w:cs="Arial"/>
      </w:rPr>
      <w:t xml:space="preserve">Stand: </w:t>
    </w:r>
    <w:r w:rsidR="003A6ABD" w:rsidRPr="00055821">
      <w:rPr>
        <w:rFonts w:ascii="Arial" w:hAnsi="Arial" w:cs="Arial"/>
      </w:rPr>
      <w:t>202</w:t>
    </w:r>
    <w:r>
      <w:rPr>
        <w:rFonts w:ascii="Arial" w:hAnsi="Arial" w:cs="Arial"/>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D5644"/>
    <w:multiLevelType w:val="hybridMultilevel"/>
    <w:tmpl w:val="B2C6EDB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DD2902"/>
    <w:multiLevelType w:val="hybridMultilevel"/>
    <w:tmpl w:val="C4C8B6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4A66355"/>
    <w:multiLevelType w:val="hybridMultilevel"/>
    <w:tmpl w:val="71D8EC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D5D247B"/>
    <w:multiLevelType w:val="hybridMultilevel"/>
    <w:tmpl w:val="B7083262"/>
    <w:lvl w:ilvl="0" w:tplc="1F6AAE06">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A0263E3"/>
    <w:multiLevelType w:val="hybridMultilevel"/>
    <w:tmpl w:val="82569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145"/>
    <w:rsid w:val="00004149"/>
    <w:rsid w:val="0001407F"/>
    <w:rsid w:val="00042E37"/>
    <w:rsid w:val="00055821"/>
    <w:rsid w:val="0005650D"/>
    <w:rsid w:val="000700DA"/>
    <w:rsid w:val="00080F3F"/>
    <w:rsid w:val="00085E2A"/>
    <w:rsid w:val="0008628D"/>
    <w:rsid w:val="000862D3"/>
    <w:rsid w:val="00095181"/>
    <w:rsid w:val="000A4AD7"/>
    <w:rsid w:val="000B2422"/>
    <w:rsid w:val="000C2BA2"/>
    <w:rsid w:val="000D2B0C"/>
    <w:rsid w:val="000E000E"/>
    <w:rsid w:val="000F66B0"/>
    <w:rsid w:val="00100C5C"/>
    <w:rsid w:val="00101EDC"/>
    <w:rsid w:val="00120BCD"/>
    <w:rsid w:val="001423D9"/>
    <w:rsid w:val="00157D8D"/>
    <w:rsid w:val="0016390A"/>
    <w:rsid w:val="001700E0"/>
    <w:rsid w:val="001774B3"/>
    <w:rsid w:val="001936E1"/>
    <w:rsid w:val="001B400D"/>
    <w:rsid w:val="001E2D34"/>
    <w:rsid w:val="001F1455"/>
    <w:rsid w:val="001F2C15"/>
    <w:rsid w:val="00207B27"/>
    <w:rsid w:val="00214CCB"/>
    <w:rsid w:val="00232409"/>
    <w:rsid w:val="00236DD6"/>
    <w:rsid w:val="00237DEA"/>
    <w:rsid w:val="00245C83"/>
    <w:rsid w:val="00250486"/>
    <w:rsid w:val="00250E5B"/>
    <w:rsid w:val="00253758"/>
    <w:rsid w:val="00253C2C"/>
    <w:rsid w:val="0026035A"/>
    <w:rsid w:val="002713A2"/>
    <w:rsid w:val="002A3564"/>
    <w:rsid w:val="002A7AA1"/>
    <w:rsid w:val="00333AEA"/>
    <w:rsid w:val="003732AC"/>
    <w:rsid w:val="003A6ABD"/>
    <w:rsid w:val="003B7976"/>
    <w:rsid w:val="003C2CE1"/>
    <w:rsid w:val="003E13BA"/>
    <w:rsid w:val="003F52B5"/>
    <w:rsid w:val="0041202C"/>
    <w:rsid w:val="00427075"/>
    <w:rsid w:val="00501CF1"/>
    <w:rsid w:val="00534EDC"/>
    <w:rsid w:val="005426EE"/>
    <w:rsid w:val="005436B3"/>
    <w:rsid w:val="00543925"/>
    <w:rsid w:val="00556299"/>
    <w:rsid w:val="005577F4"/>
    <w:rsid w:val="005809F4"/>
    <w:rsid w:val="005869CF"/>
    <w:rsid w:val="0059518A"/>
    <w:rsid w:val="005A2F26"/>
    <w:rsid w:val="005A45EA"/>
    <w:rsid w:val="005C6C63"/>
    <w:rsid w:val="005D6BB0"/>
    <w:rsid w:val="005E4535"/>
    <w:rsid w:val="005F4F34"/>
    <w:rsid w:val="0060248A"/>
    <w:rsid w:val="0064657B"/>
    <w:rsid w:val="00676E5F"/>
    <w:rsid w:val="00677C91"/>
    <w:rsid w:val="00677FC1"/>
    <w:rsid w:val="006B35F6"/>
    <w:rsid w:val="006C4C41"/>
    <w:rsid w:val="006D51AC"/>
    <w:rsid w:val="006E52CE"/>
    <w:rsid w:val="006F05B9"/>
    <w:rsid w:val="00701730"/>
    <w:rsid w:val="00720992"/>
    <w:rsid w:val="00723687"/>
    <w:rsid w:val="00751344"/>
    <w:rsid w:val="00763EFD"/>
    <w:rsid w:val="007669DF"/>
    <w:rsid w:val="00782695"/>
    <w:rsid w:val="007B4937"/>
    <w:rsid w:val="007B63D7"/>
    <w:rsid w:val="007C03A7"/>
    <w:rsid w:val="007D08BB"/>
    <w:rsid w:val="007F4538"/>
    <w:rsid w:val="007F58DD"/>
    <w:rsid w:val="00806D5F"/>
    <w:rsid w:val="00812143"/>
    <w:rsid w:val="00813098"/>
    <w:rsid w:val="00866E47"/>
    <w:rsid w:val="00876CE8"/>
    <w:rsid w:val="0088470E"/>
    <w:rsid w:val="008D2BDA"/>
    <w:rsid w:val="008F5F59"/>
    <w:rsid w:val="008F6B56"/>
    <w:rsid w:val="0092638A"/>
    <w:rsid w:val="00927A06"/>
    <w:rsid w:val="00941D73"/>
    <w:rsid w:val="00945918"/>
    <w:rsid w:val="00956145"/>
    <w:rsid w:val="00994D15"/>
    <w:rsid w:val="009B7B74"/>
    <w:rsid w:val="009C0D14"/>
    <w:rsid w:val="009C0D32"/>
    <w:rsid w:val="009C4A8C"/>
    <w:rsid w:val="00A06BF8"/>
    <w:rsid w:val="00A072D4"/>
    <w:rsid w:val="00A07508"/>
    <w:rsid w:val="00A14FD8"/>
    <w:rsid w:val="00A2139B"/>
    <w:rsid w:val="00A335A8"/>
    <w:rsid w:val="00A339B9"/>
    <w:rsid w:val="00A370A2"/>
    <w:rsid w:val="00A45D65"/>
    <w:rsid w:val="00AD35FF"/>
    <w:rsid w:val="00AE4042"/>
    <w:rsid w:val="00B0556F"/>
    <w:rsid w:val="00B077AA"/>
    <w:rsid w:val="00B11EA7"/>
    <w:rsid w:val="00B27070"/>
    <w:rsid w:val="00B45423"/>
    <w:rsid w:val="00B537D7"/>
    <w:rsid w:val="00B55C52"/>
    <w:rsid w:val="00B55E47"/>
    <w:rsid w:val="00B62AFC"/>
    <w:rsid w:val="00B74BD1"/>
    <w:rsid w:val="00B86665"/>
    <w:rsid w:val="00B9561F"/>
    <w:rsid w:val="00C046AF"/>
    <w:rsid w:val="00C1086A"/>
    <w:rsid w:val="00C25720"/>
    <w:rsid w:val="00C45340"/>
    <w:rsid w:val="00C75958"/>
    <w:rsid w:val="00CA2C46"/>
    <w:rsid w:val="00CA2CB7"/>
    <w:rsid w:val="00CC3191"/>
    <w:rsid w:val="00CC363B"/>
    <w:rsid w:val="00CE571B"/>
    <w:rsid w:val="00CF1452"/>
    <w:rsid w:val="00CF497D"/>
    <w:rsid w:val="00D11ECC"/>
    <w:rsid w:val="00D2268F"/>
    <w:rsid w:val="00D2463B"/>
    <w:rsid w:val="00D25793"/>
    <w:rsid w:val="00D34B70"/>
    <w:rsid w:val="00D370CF"/>
    <w:rsid w:val="00D5148E"/>
    <w:rsid w:val="00D64541"/>
    <w:rsid w:val="00D65335"/>
    <w:rsid w:val="00D70F9E"/>
    <w:rsid w:val="00D72212"/>
    <w:rsid w:val="00D86DDC"/>
    <w:rsid w:val="00DC4CB8"/>
    <w:rsid w:val="00DD027E"/>
    <w:rsid w:val="00DD2453"/>
    <w:rsid w:val="00DF07F0"/>
    <w:rsid w:val="00DF5EDA"/>
    <w:rsid w:val="00E17D4A"/>
    <w:rsid w:val="00E37681"/>
    <w:rsid w:val="00E41C24"/>
    <w:rsid w:val="00E4306E"/>
    <w:rsid w:val="00E671D1"/>
    <w:rsid w:val="00E710E5"/>
    <w:rsid w:val="00E95F61"/>
    <w:rsid w:val="00E9762D"/>
    <w:rsid w:val="00EC1125"/>
    <w:rsid w:val="00ED7070"/>
    <w:rsid w:val="00EE106B"/>
    <w:rsid w:val="00EE350F"/>
    <w:rsid w:val="00EF07A3"/>
    <w:rsid w:val="00EF07FE"/>
    <w:rsid w:val="00EF39CB"/>
    <w:rsid w:val="00F37A2C"/>
    <w:rsid w:val="00F54DFB"/>
    <w:rsid w:val="00F9674A"/>
    <w:rsid w:val="00FB78BB"/>
    <w:rsid w:val="00FC1442"/>
    <w:rsid w:val="00FC4AA0"/>
    <w:rsid w:val="00FD1032"/>
    <w:rsid w:val="00FF390D"/>
    <w:rsid w:val="00FF50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745409"/>
  <w15:docId w15:val="{01137A47-B10A-4278-87EA-6FB2F31E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56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565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650D"/>
  </w:style>
  <w:style w:type="paragraph" w:styleId="Fuzeile">
    <w:name w:val="footer"/>
    <w:basedOn w:val="Standard"/>
    <w:link w:val="FuzeileZchn"/>
    <w:uiPriority w:val="99"/>
    <w:unhideWhenUsed/>
    <w:rsid w:val="000565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650D"/>
  </w:style>
  <w:style w:type="paragraph" w:styleId="Sprechblasentext">
    <w:name w:val="Balloon Text"/>
    <w:basedOn w:val="Standard"/>
    <w:link w:val="SprechblasentextZchn"/>
    <w:uiPriority w:val="99"/>
    <w:semiHidden/>
    <w:unhideWhenUsed/>
    <w:rsid w:val="006C4C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4C41"/>
    <w:rPr>
      <w:rFonts w:ascii="Tahoma" w:hAnsi="Tahoma" w:cs="Tahoma"/>
      <w:sz w:val="16"/>
      <w:szCs w:val="16"/>
    </w:rPr>
  </w:style>
  <w:style w:type="character" w:styleId="Hyperlink">
    <w:name w:val="Hyperlink"/>
    <w:basedOn w:val="Absatz-Standardschriftart"/>
    <w:uiPriority w:val="99"/>
    <w:unhideWhenUsed/>
    <w:rsid w:val="00751344"/>
    <w:rPr>
      <w:color w:val="0563C1" w:themeColor="hyperlink"/>
      <w:u w:val="single"/>
    </w:rPr>
  </w:style>
  <w:style w:type="character" w:styleId="Kommentarzeichen">
    <w:name w:val="annotation reference"/>
    <w:basedOn w:val="Absatz-Standardschriftart"/>
    <w:uiPriority w:val="99"/>
    <w:semiHidden/>
    <w:unhideWhenUsed/>
    <w:rsid w:val="00B537D7"/>
    <w:rPr>
      <w:sz w:val="16"/>
      <w:szCs w:val="16"/>
    </w:rPr>
  </w:style>
  <w:style w:type="paragraph" w:styleId="Kommentartext">
    <w:name w:val="annotation text"/>
    <w:basedOn w:val="Standard"/>
    <w:link w:val="KommentartextZchn"/>
    <w:uiPriority w:val="99"/>
    <w:semiHidden/>
    <w:unhideWhenUsed/>
    <w:rsid w:val="00B537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37D7"/>
    <w:rPr>
      <w:sz w:val="20"/>
      <w:szCs w:val="20"/>
    </w:rPr>
  </w:style>
  <w:style w:type="paragraph" w:styleId="Kommentarthema">
    <w:name w:val="annotation subject"/>
    <w:basedOn w:val="Kommentartext"/>
    <w:next w:val="Kommentartext"/>
    <w:link w:val="KommentarthemaZchn"/>
    <w:uiPriority w:val="99"/>
    <w:semiHidden/>
    <w:unhideWhenUsed/>
    <w:rsid w:val="00B537D7"/>
    <w:rPr>
      <w:b/>
      <w:bCs/>
    </w:rPr>
  </w:style>
  <w:style w:type="character" w:customStyle="1" w:styleId="KommentarthemaZchn">
    <w:name w:val="Kommentarthema Zchn"/>
    <w:basedOn w:val="KommentartextZchn"/>
    <w:link w:val="Kommentarthema"/>
    <w:uiPriority w:val="99"/>
    <w:semiHidden/>
    <w:rsid w:val="00B537D7"/>
    <w:rPr>
      <w:b/>
      <w:bCs/>
      <w:sz w:val="20"/>
      <w:szCs w:val="20"/>
    </w:rPr>
  </w:style>
  <w:style w:type="paragraph" w:styleId="Listenabsatz">
    <w:name w:val="List Paragraph"/>
    <w:basedOn w:val="Standard"/>
    <w:uiPriority w:val="34"/>
    <w:qFormat/>
    <w:rsid w:val="009C4A8C"/>
    <w:pPr>
      <w:ind w:left="720"/>
      <w:contextualSpacing/>
    </w:pPr>
  </w:style>
  <w:style w:type="paragraph" w:customStyle="1" w:styleId="Default">
    <w:name w:val="Default"/>
    <w:rsid w:val="000700DA"/>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D5148E"/>
    <w:pPr>
      <w:spacing w:after="0" w:line="240" w:lineRule="auto"/>
    </w:pPr>
  </w:style>
  <w:style w:type="character" w:styleId="BesuchterLink">
    <w:name w:val="FollowedHyperlink"/>
    <w:basedOn w:val="Absatz-Standardschriftart"/>
    <w:uiPriority w:val="99"/>
    <w:semiHidden/>
    <w:unhideWhenUsed/>
    <w:rsid w:val="001E2D34"/>
    <w:rPr>
      <w:color w:val="954F72" w:themeColor="followedHyperlink"/>
      <w:u w:val="single"/>
    </w:rPr>
  </w:style>
  <w:style w:type="character" w:customStyle="1" w:styleId="rvejvd">
    <w:name w:val="rvejvd"/>
    <w:basedOn w:val="Absatz-Standardschriftart"/>
    <w:rsid w:val="00B55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698958">
      <w:bodyDiv w:val="1"/>
      <w:marLeft w:val="0"/>
      <w:marRight w:val="0"/>
      <w:marTop w:val="0"/>
      <w:marBottom w:val="0"/>
      <w:divBdr>
        <w:top w:val="none" w:sz="0" w:space="0" w:color="auto"/>
        <w:left w:val="none" w:sz="0" w:space="0" w:color="auto"/>
        <w:bottom w:val="none" w:sz="0" w:space="0" w:color="auto"/>
        <w:right w:val="none" w:sz="0" w:space="0" w:color="auto"/>
      </w:divBdr>
    </w:div>
    <w:div w:id="596211871">
      <w:bodyDiv w:val="1"/>
      <w:marLeft w:val="0"/>
      <w:marRight w:val="0"/>
      <w:marTop w:val="0"/>
      <w:marBottom w:val="0"/>
      <w:divBdr>
        <w:top w:val="none" w:sz="0" w:space="0" w:color="auto"/>
        <w:left w:val="none" w:sz="0" w:space="0" w:color="auto"/>
        <w:bottom w:val="none" w:sz="0" w:space="0" w:color="auto"/>
        <w:right w:val="none" w:sz="0" w:space="0" w:color="auto"/>
      </w:divBdr>
      <w:divsChild>
        <w:div w:id="306470139">
          <w:marLeft w:val="0"/>
          <w:marRight w:val="0"/>
          <w:marTop w:val="450"/>
          <w:marBottom w:val="450"/>
          <w:divBdr>
            <w:top w:val="none" w:sz="0" w:space="0" w:color="auto"/>
            <w:left w:val="none" w:sz="0" w:space="0" w:color="auto"/>
            <w:bottom w:val="none" w:sz="0" w:space="0" w:color="auto"/>
            <w:right w:val="none" w:sz="0" w:space="0" w:color="auto"/>
          </w:divBdr>
          <w:divsChild>
            <w:div w:id="1595551588">
              <w:marLeft w:val="0"/>
              <w:marRight w:val="0"/>
              <w:marTop w:val="0"/>
              <w:marBottom w:val="0"/>
              <w:divBdr>
                <w:top w:val="none" w:sz="0" w:space="0" w:color="auto"/>
                <w:left w:val="none" w:sz="0" w:space="0" w:color="auto"/>
                <w:bottom w:val="none" w:sz="0" w:space="0" w:color="auto"/>
                <w:right w:val="none" w:sz="0" w:space="0" w:color="auto"/>
              </w:divBdr>
              <w:divsChild>
                <w:div w:id="603223661">
                  <w:marLeft w:val="0"/>
                  <w:marRight w:val="0"/>
                  <w:marTop w:val="0"/>
                  <w:marBottom w:val="0"/>
                  <w:divBdr>
                    <w:top w:val="none" w:sz="0" w:space="0" w:color="auto"/>
                    <w:left w:val="none" w:sz="0" w:space="0" w:color="auto"/>
                    <w:bottom w:val="none" w:sz="0" w:space="0" w:color="auto"/>
                    <w:right w:val="none" w:sz="0" w:space="0" w:color="auto"/>
                  </w:divBdr>
                  <w:divsChild>
                    <w:div w:id="4215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1788">
      <w:bodyDiv w:val="1"/>
      <w:marLeft w:val="0"/>
      <w:marRight w:val="0"/>
      <w:marTop w:val="0"/>
      <w:marBottom w:val="0"/>
      <w:divBdr>
        <w:top w:val="none" w:sz="0" w:space="0" w:color="auto"/>
        <w:left w:val="none" w:sz="0" w:space="0" w:color="auto"/>
        <w:bottom w:val="none" w:sz="0" w:space="0" w:color="auto"/>
        <w:right w:val="none" w:sz="0" w:space="0" w:color="auto"/>
      </w:divBdr>
    </w:div>
    <w:div w:id="872233491">
      <w:bodyDiv w:val="1"/>
      <w:marLeft w:val="0"/>
      <w:marRight w:val="0"/>
      <w:marTop w:val="0"/>
      <w:marBottom w:val="0"/>
      <w:divBdr>
        <w:top w:val="none" w:sz="0" w:space="0" w:color="auto"/>
        <w:left w:val="none" w:sz="0" w:space="0" w:color="auto"/>
        <w:bottom w:val="none" w:sz="0" w:space="0" w:color="auto"/>
        <w:right w:val="none" w:sz="0" w:space="0" w:color="auto"/>
      </w:divBdr>
    </w:div>
    <w:div w:id="1098601902">
      <w:bodyDiv w:val="1"/>
      <w:marLeft w:val="0"/>
      <w:marRight w:val="0"/>
      <w:marTop w:val="0"/>
      <w:marBottom w:val="0"/>
      <w:divBdr>
        <w:top w:val="none" w:sz="0" w:space="0" w:color="auto"/>
        <w:left w:val="none" w:sz="0" w:space="0" w:color="auto"/>
        <w:bottom w:val="none" w:sz="0" w:space="0" w:color="auto"/>
        <w:right w:val="none" w:sz="0" w:space="0" w:color="auto"/>
      </w:divBdr>
    </w:div>
    <w:div w:id="1099564553">
      <w:bodyDiv w:val="1"/>
      <w:marLeft w:val="0"/>
      <w:marRight w:val="0"/>
      <w:marTop w:val="0"/>
      <w:marBottom w:val="0"/>
      <w:divBdr>
        <w:top w:val="none" w:sz="0" w:space="0" w:color="auto"/>
        <w:left w:val="none" w:sz="0" w:space="0" w:color="auto"/>
        <w:bottom w:val="none" w:sz="0" w:space="0" w:color="auto"/>
        <w:right w:val="none" w:sz="0" w:space="0" w:color="auto"/>
      </w:divBdr>
    </w:div>
    <w:div w:id="1212159512">
      <w:bodyDiv w:val="1"/>
      <w:marLeft w:val="0"/>
      <w:marRight w:val="0"/>
      <w:marTop w:val="0"/>
      <w:marBottom w:val="0"/>
      <w:divBdr>
        <w:top w:val="none" w:sz="0" w:space="0" w:color="auto"/>
        <w:left w:val="none" w:sz="0" w:space="0" w:color="auto"/>
        <w:bottom w:val="none" w:sz="0" w:space="0" w:color="auto"/>
        <w:right w:val="none" w:sz="0" w:space="0" w:color="auto"/>
      </w:divBdr>
    </w:div>
    <w:div w:id="1331641941">
      <w:bodyDiv w:val="1"/>
      <w:marLeft w:val="0"/>
      <w:marRight w:val="0"/>
      <w:marTop w:val="0"/>
      <w:marBottom w:val="0"/>
      <w:divBdr>
        <w:top w:val="none" w:sz="0" w:space="0" w:color="auto"/>
        <w:left w:val="none" w:sz="0" w:space="0" w:color="auto"/>
        <w:bottom w:val="none" w:sz="0" w:space="0" w:color="auto"/>
        <w:right w:val="none" w:sz="0" w:space="0" w:color="auto"/>
      </w:divBdr>
      <w:divsChild>
        <w:div w:id="1957910476">
          <w:marLeft w:val="0"/>
          <w:marRight w:val="0"/>
          <w:marTop w:val="450"/>
          <w:marBottom w:val="450"/>
          <w:divBdr>
            <w:top w:val="none" w:sz="0" w:space="0" w:color="auto"/>
            <w:left w:val="none" w:sz="0" w:space="0" w:color="auto"/>
            <w:bottom w:val="none" w:sz="0" w:space="0" w:color="auto"/>
            <w:right w:val="none" w:sz="0" w:space="0" w:color="auto"/>
          </w:divBdr>
          <w:divsChild>
            <w:div w:id="1185747468">
              <w:marLeft w:val="0"/>
              <w:marRight w:val="0"/>
              <w:marTop w:val="0"/>
              <w:marBottom w:val="0"/>
              <w:divBdr>
                <w:top w:val="none" w:sz="0" w:space="0" w:color="auto"/>
                <w:left w:val="none" w:sz="0" w:space="0" w:color="auto"/>
                <w:bottom w:val="none" w:sz="0" w:space="0" w:color="auto"/>
                <w:right w:val="none" w:sz="0" w:space="0" w:color="auto"/>
              </w:divBdr>
              <w:divsChild>
                <w:div w:id="1570068471">
                  <w:marLeft w:val="0"/>
                  <w:marRight w:val="0"/>
                  <w:marTop w:val="0"/>
                  <w:marBottom w:val="0"/>
                  <w:divBdr>
                    <w:top w:val="none" w:sz="0" w:space="0" w:color="auto"/>
                    <w:left w:val="none" w:sz="0" w:space="0" w:color="auto"/>
                    <w:bottom w:val="none" w:sz="0" w:space="0" w:color="auto"/>
                    <w:right w:val="none" w:sz="0" w:space="0" w:color="auto"/>
                  </w:divBdr>
                  <w:divsChild>
                    <w:div w:id="18257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12729">
      <w:bodyDiv w:val="1"/>
      <w:marLeft w:val="0"/>
      <w:marRight w:val="0"/>
      <w:marTop w:val="0"/>
      <w:marBottom w:val="0"/>
      <w:divBdr>
        <w:top w:val="none" w:sz="0" w:space="0" w:color="auto"/>
        <w:left w:val="none" w:sz="0" w:space="0" w:color="auto"/>
        <w:bottom w:val="none" w:sz="0" w:space="0" w:color="auto"/>
        <w:right w:val="none" w:sz="0" w:space="0" w:color="auto"/>
      </w:divBdr>
    </w:div>
    <w:div w:id="1892300649">
      <w:bodyDiv w:val="1"/>
      <w:marLeft w:val="0"/>
      <w:marRight w:val="0"/>
      <w:marTop w:val="0"/>
      <w:marBottom w:val="0"/>
      <w:divBdr>
        <w:top w:val="none" w:sz="0" w:space="0" w:color="auto"/>
        <w:left w:val="none" w:sz="0" w:space="0" w:color="auto"/>
        <w:bottom w:val="none" w:sz="0" w:space="0" w:color="auto"/>
        <w:right w:val="none" w:sz="0" w:space="0" w:color="auto"/>
      </w:divBdr>
      <w:divsChild>
        <w:div w:id="1511874620">
          <w:marLeft w:val="562"/>
          <w:marRight w:val="0"/>
          <w:marTop w:val="120"/>
          <w:marBottom w:val="0"/>
          <w:divBdr>
            <w:top w:val="none" w:sz="0" w:space="0" w:color="auto"/>
            <w:left w:val="none" w:sz="0" w:space="0" w:color="auto"/>
            <w:bottom w:val="none" w:sz="0" w:space="0" w:color="auto"/>
            <w:right w:val="none" w:sz="0" w:space="0" w:color="auto"/>
          </w:divBdr>
        </w:div>
        <w:div w:id="1448890769">
          <w:marLeft w:val="562"/>
          <w:marRight w:val="0"/>
          <w:marTop w:val="120"/>
          <w:marBottom w:val="0"/>
          <w:divBdr>
            <w:top w:val="none" w:sz="0" w:space="0" w:color="auto"/>
            <w:left w:val="none" w:sz="0" w:space="0" w:color="auto"/>
            <w:bottom w:val="none" w:sz="0" w:space="0" w:color="auto"/>
            <w:right w:val="none" w:sz="0" w:space="0" w:color="auto"/>
          </w:divBdr>
        </w:div>
        <w:div w:id="1783305726">
          <w:marLeft w:val="562"/>
          <w:marRight w:val="0"/>
          <w:marTop w:val="120"/>
          <w:marBottom w:val="0"/>
          <w:divBdr>
            <w:top w:val="none" w:sz="0" w:space="0" w:color="auto"/>
            <w:left w:val="none" w:sz="0" w:space="0" w:color="auto"/>
            <w:bottom w:val="none" w:sz="0" w:space="0" w:color="auto"/>
            <w:right w:val="none" w:sz="0" w:space="0" w:color="auto"/>
          </w:divBdr>
        </w:div>
        <w:div w:id="423116719">
          <w:marLeft w:val="562"/>
          <w:marRight w:val="0"/>
          <w:marTop w:val="120"/>
          <w:marBottom w:val="0"/>
          <w:divBdr>
            <w:top w:val="none" w:sz="0" w:space="0" w:color="auto"/>
            <w:left w:val="none" w:sz="0" w:space="0" w:color="auto"/>
            <w:bottom w:val="none" w:sz="0" w:space="0" w:color="auto"/>
            <w:right w:val="none" w:sz="0" w:space="0" w:color="auto"/>
          </w:divBdr>
        </w:div>
        <w:div w:id="1278219572">
          <w:marLeft w:val="56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89701-38D4-4549-97F6-F10873822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729</Words>
  <Characters>4598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Ritter Energie- und Umwelttechnik GmbH &amp; Co. KG</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Buortmes, Benjamin</dc:creator>
  <cp:lastModifiedBy>Benjamin Buortmes</cp:lastModifiedBy>
  <cp:revision>58</cp:revision>
  <dcterms:created xsi:type="dcterms:W3CDTF">2020-05-29T13:58:00Z</dcterms:created>
  <dcterms:modified xsi:type="dcterms:W3CDTF">2021-01-14T12:32:00Z</dcterms:modified>
</cp:coreProperties>
</file>